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WHY?遗传基因与血型</w:t>
      </w:r>
    </w:p>
    <w:p>
      <w:r>
        <w:rPr>
          <w:rFonts w:ascii="宋体" w:hAnsi="宋体" w:eastAsia="宋体"/>
          <w:sz w:val="24"/>
        </w:rPr>
        <w:t>（韩）全载云编文，（韩）崔明丘绘图；（韩）权硕云审读；郭芊孜译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WHY?遗传基因与血型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（韩）全载云编文，（韩）崔明丘绘图；（韩）权硕云审读；郭芊孜译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本书出售、求购地址：https://www.jiaokey.com/book/detail/13639727.html</w:t>
      </w:r>
    </w:p>
    <w:p>
      <w:r>
        <w:t>更多相关图书推荐：https://www.jiaokey.com</w:t>
      </w:r>
    </w:p>
    <w:p>
      <w:r>
        <w:t>（韩）全载云编文，（韩）崔明丘绘图；（韩）权硕云审读；郭芊孜译 其他作品：https://www.jiaokey.com/tag/（韩）全载云编文，（韩）崔明丘绘图；（韩）权硕云审读；郭芊孜译.html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关键词搜索：https://www.jiaokey.com/tag/WHY?遗传基因与血型.html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