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ASP.NET程序设计与应用</w:t>
      </w:r>
    </w:p>
    <w:p>
      <w:r>
        <w:rPr>
          <w:rFonts w:ascii="宋体" w:hAnsi="宋体" w:eastAsia="宋体"/>
          <w:sz w:val="24"/>
        </w:rPr>
        <w:t>李金良，王征风，王红刚主编；王振铎，黄玉蕾副主编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李金良，王征风，王红刚主编；王振铎，黄玉蕾副主编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本书出售、求购地址：https://www.jiaokey.com/book/detail/13639609.html</w:t>
      </w:r>
    </w:p>
    <w:p>
      <w:r>
        <w:t>更多相关图书推荐：https://www.jiaokey.com</w:t>
      </w:r>
    </w:p>
    <w:p>
      <w:r>
        <w:t>李金良，王征风，王红刚主编；王振铎，黄玉蕾副主编 其他作品：https://www.jiaokey.com/tag/李金良，王征风，王红刚主编；王振铎，黄玉蕾副主编.html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关键词搜索：https://www.jiaokey.com/tag/ASP.NET程序设计与应用.html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