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海鹰</w:t>
      </w:r>
    </w:p>
    <w:p>
      <w:r>
        <w:rPr>
          <w:rFonts w:ascii="宋体" w:hAnsi="宋体" w:eastAsia="宋体"/>
          <w:sz w:val="24"/>
        </w:rPr>
        <w:t>赵刚主编；严锴副主编；尹江潮，聂淑兰，王玉彬等编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赵刚主编；严锴副主编；尹江潮，聂淑兰，王玉彬等编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本书出售、求购地址：https://www.jiaokey.com/book/detail/13639524.html</w:t>
      </w:r>
    </w:p>
    <w:p>
      <w:r>
        <w:t>更多相关图书推荐：https://www.jiaokey.com</w:t>
      </w:r>
    </w:p>
    <w:p>
      <w:r>
        <w:t>赵刚主编；严锴副主编；尹江潮，聂淑兰，王玉彬等编 其他作品：https://www.jiaokey.com/tag/赵刚主编；严锴副主编；尹江潮，聂淑兰，王玉彬等编.html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关键词搜索：https://www.jiaokey.com/tag/海鹰.html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