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</w:t>
      </w:r>
    </w:p>
    <w:p>
      <w:r>
        <w:rPr>
          <w:rFonts w:ascii="宋体" w:hAnsi="宋体" w:eastAsia="宋体"/>
          <w:sz w:val="24"/>
        </w:rPr>
        <w:t>严锴策划；刘澍总顾问；刘澍文案统筹；尹江潮，聂淑兰，王玉彬等编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严锴策划；刘澍总顾问；刘澍文案统筹；尹江潮，聂淑兰，王玉彬等编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本书出售、求购地址：https://www.jiaokey.com/book/detail/13639460.html</w:t>
      </w:r>
    </w:p>
    <w:p>
      <w:r>
        <w:t>更多相关图书推荐：https://www.jiaokey.com</w:t>
      </w:r>
    </w:p>
    <w:p>
      <w:r>
        <w:t>严锴策划；刘澍总顾问；刘澍文案统筹；尹江潮，聂淑兰，王玉彬等编 其他作品：https://www.jiaokey.com/tag/严锴策划；刘澍总顾问；刘澍文案统筹；尹江潮，聂淑兰，王玉彬等编.html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关键词搜索：https://www.jiaokey.com/tag/东方红.html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