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创建儿童友好型城市</w:t>
      </w:r>
    </w:p>
    <w:p>
      <w:r>
        <w:rPr>
          <w:rFonts w:ascii="宋体" w:hAnsi="宋体" w:eastAsia="宋体"/>
          <w:sz w:val="24"/>
        </w:rPr>
        <w:t>（澳）布伦丹·格利森，（澳）尼尔·西普主编；丁宇译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创建儿童友好型城市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（澳）布伦丹·格利森，（澳）尼尔·西普主编；丁宇译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本书出售、求购地址：https://www.jiaokey.com/book/detail/13638142.html</w:t>
      </w:r>
    </w:p>
    <w:p>
      <w:r>
        <w:t>更多相关图书推荐：https://www.jiaokey.com</w:t>
      </w:r>
    </w:p>
    <w:p>
      <w:r>
        <w:t>（澳）布伦丹·格利森，（澳）尼尔·西普主编；丁宇译 其他作品：https://www.jiaokey.com/tag/（澳）布伦丹·格利森，（澳）尼尔·西普主编；丁宇译.html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关键词搜索：https://www.jiaokey.com/tag/创建儿童友好型城市.html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