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象老爹</w:t>
      </w:r>
    </w:p>
    <w:p>
      <w:r>
        <w:rPr>
          <w:rFonts w:ascii="宋体" w:hAnsi="宋体" w:eastAsia="宋体"/>
          <w:sz w:val="24"/>
        </w:rPr>
        <w:t>（比）布赫基农文，（比）朵儿图，漪然译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象老爹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（比）布赫基农文，（比）朵儿图，漪然译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长沙:湖南少儿出版社,2009.04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本书出售、求购地址：https://www.jiaokey.com/book/detail/13638110.html</w:t>
      </w:r>
    </w:p>
    <w:p>
      <w:r>
        <w:t>更多相关图书推荐：https://www.jiaokey.com</w:t>
      </w:r>
    </w:p>
    <w:p>
      <w:r>
        <w:t>（比）布赫基农文，（比）朵儿图，漪然译 其他作品：https://www.jiaokey.com/tag/（比）布赫基农文，（比）朵儿图，漪然译.html</w:t>
      </w:r>
    </w:p>
    <w:p>
      <w:r>
        <w:t>长沙:湖南少儿出版社,2009.04 出版图书：https://www.jiaokey.com/tag/长沙:湖南少儿出版社,2009.04.html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