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</w:t>
      </w:r>
    </w:p>
    <w:p>
      <w:r>
        <w:rPr>
          <w:rFonts w:ascii="宋体" w:hAnsi="宋体" w:eastAsia="宋体"/>
          <w:sz w:val="24"/>
        </w:rPr>
        <w:t>李祥生，赵小龙主编；焦瑞，毕雪华副主编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李祥生，赵小龙主编；焦瑞，毕雪华副主编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本书出售、求购地址：https://www.jiaokey.com/book/detail/13637600.html</w:t>
      </w:r>
    </w:p>
    <w:p>
      <w:r>
        <w:t>更多相关图书推荐：https://www.jiaokey.com</w:t>
      </w:r>
    </w:p>
    <w:p>
      <w:r>
        <w:t>李祥生，赵小龙主编；焦瑞，毕雪华副主编 其他作品：https://www.jiaokey.com/tag/李祥生，赵小龙主编；焦瑞，毕雪华副主编.html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