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天商法律评论  2013年卷</w:t>
      </w:r>
    </w:p>
    <w:p>
      <w:r>
        <w:rPr>
          <w:rFonts w:ascii="宋体" w:hAnsi="宋体" w:eastAsia="宋体"/>
          <w:sz w:val="24"/>
        </w:rPr>
        <w:t>齐恩平,吴春雷,王立争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天商法律评论  2013年卷</w:t>
            </w:r>
          </w:p>
        </w:tc>
      </w:tr>
      <w:tr>
        <w:tc>
          <w:tcPr>
            <w:tcW w:type="dxa" w:w="4320"/>
          </w:tcPr>
          <w:p>
            <w:r>
              <w:t>作者</w:t>
            </w:r>
          </w:p>
        </w:tc>
        <w:tc>
          <w:tcPr>
            <w:tcW w:type="dxa" w:w="4320"/>
          </w:tcPr>
          <w:p>
            <w:r>
              <w:t>齐恩平,吴春雷,王立争</w:t>
            </w:r>
          </w:p>
        </w:tc>
      </w:tr>
      <w:tr>
        <w:tc>
          <w:tcPr>
            <w:tcW w:type="dxa" w:w="4320"/>
          </w:tcPr>
          <w:p>
            <w:r>
              <w:t>出版社</w:t>
            </w:r>
          </w:p>
        </w:tc>
        <w:tc>
          <w:tcPr>
            <w:tcW w:type="dxa" w:w="4320"/>
          </w:tcPr>
          <w:p>
            <w:r>
              <w:t>天津：南开大学出版社</w:t>
            </w:r>
          </w:p>
        </w:tc>
      </w:tr>
      <w:tr>
        <w:tc>
          <w:tcPr>
            <w:tcW w:type="dxa" w:w="4320"/>
          </w:tcPr>
          <w:p>
            <w:r>
              <w:t>ISBN</w:t>
            </w:r>
          </w:p>
        </w:tc>
        <w:tc>
          <w:tcPr>
            <w:tcW w:type="dxa" w:w="4320"/>
          </w:tcPr>
          <w:p>
            <w:r>
              <w:t>9787310043903</w:t>
            </w:r>
          </w:p>
        </w:tc>
      </w:tr>
      <w:tr>
        <w:tc>
          <w:tcPr>
            <w:tcW w:type="dxa" w:w="4320"/>
          </w:tcPr>
          <w:p>
            <w:r>
              <w:t>出版日期</w:t>
            </w:r>
          </w:p>
        </w:tc>
        <w:tc>
          <w:tcPr>
            <w:tcW w:type="dxa" w:w="4320"/>
          </w:tcPr>
          <w:p>
            <w:r>
              <w:t>2013-12-01</w:t>
            </w:r>
          </w:p>
        </w:tc>
      </w:tr>
      <w:tr>
        <w:tc>
          <w:tcPr>
            <w:tcW w:type="dxa" w:w="4320"/>
          </w:tcPr>
          <w:p>
            <w:r>
              <w:t>页数</w:t>
            </w:r>
          </w:p>
        </w:tc>
        <w:tc>
          <w:tcPr>
            <w:tcW w:type="dxa" w:w="4320"/>
          </w:tcPr>
          <w:p>
            <w:r>
              <w:t>355</w:t>
            </w:r>
          </w:p>
        </w:tc>
      </w:tr>
      <w:tr>
        <w:tc>
          <w:tcPr>
            <w:tcW w:type="dxa" w:w="4320"/>
          </w:tcPr>
          <w:p>
            <w:r>
              <w:t>价格</w:t>
            </w:r>
          </w:p>
        </w:tc>
        <w:tc>
          <w:tcPr>
            <w:tcW w:type="dxa" w:w="4320"/>
          </w:tcPr>
          <w:p>
            <w:r/>
          </w:p>
        </w:tc>
      </w:tr>
      <w:tr>
        <w:tc>
          <w:tcPr>
            <w:tcW w:type="dxa" w:w="4320"/>
          </w:tcPr>
          <w:p>
            <w:r>
              <w:t>关键词</w:t>
            </w:r>
          </w:p>
        </w:tc>
        <w:tc>
          <w:tcPr>
            <w:tcW w:type="dxa" w:w="4320"/>
          </w:tcPr>
          <w:p>
            <w:r>
              <w:t>民法-研究-中国</w:t>
            </w:r>
          </w:p>
        </w:tc>
      </w:tr>
      <w:tr>
        <w:tc>
          <w:tcPr>
            <w:tcW w:type="dxa" w:w="4320"/>
          </w:tcPr>
          <w:p>
            <w:r>
              <w:t>分类</w:t>
            </w:r>
          </w:p>
        </w:tc>
        <w:tc>
          <w:tcPr>
            <w:tcW w:type="dxa" w:w="4320"/>
          </w:tcPr>
          <w:p>
            <w:r>
              <w:t>民法</w:t>
            </w:r>
          </w:p>
        </w:tc>
      </w:tr>
    </w:tbl>
    <w:p/>
    <w:p>
      <w:pPr>
        <w:pStyle w:val="Heading1"/>
      </w:pPr>
      <w:r>
        <w:t>图书介绍</w:t>
      </w:r>
    </w:p>
    <w:p>
      <w:r>
        <w:t>本书主要介绍网络隐私权民事救济方式的立体化塑照、我国个人信息的独立保护路径、政府购买模式下居家养老服务合同含义与性质、观念交付制度与传统物权法基本原则的冲突与解决等等民事法律知识。本书分析了民事法律的方方面面，关照到目前学界研究的热点问题。</w:t>
      </w:r>
    </w:p>
    <w:p/>
    <w:p>
      <w:r>
        <w:t>本书出售、求购地址：https://www.jiaokey.com/book/detail/13632671.html</w:t>
      </w:r>
    </w:p>
    <w:p>
      <w:r>
        <w:t>更多民法图书推荐：https://www.jiaokey.com</w:t>
      </w:r>
    </w:p>
    <w:p>
      <w:r>
        <w:t>齐恩平,吴春雷,王立争 其他作品：https://www.jiaokey.com/tag/齐恩平,吴春雷,王立争.html</w:t>
      </w:r>
    </w:p>
    <w:p>
      <w:r>
        <w:t>天津：南开大学出版社 出版图书：https://www.jiaokey.com/tag/天津：南开大学出版社.html</w:t>
      </w:r>
    </w:p>
    <w:p>
      <w:r>
        <w:t>关键词搜索：https://www.jiaokey.com/tag/民法-研究-中国.html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