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语言教学中的情景与文化</w:t>
      </w:r>
    </w:p>
    <w:p>
      <w:r>
        <w:rPr>
          <w:rFonts w:ascii="宋体" w:hAnsi="宋体" w:eastAsia="宋体"/>
          <w:sz w:val="24"/>
        </w:rPr>
        <w:t>（英）拜拉姆（ByramM.），（英）格伦迪（GurndyP.）编；余卫华导读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语言教学中的情景与文化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（英）拜拉姆（ByramM.），（英）格伦迪（GurndyP.）编；余卫华导读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本书出售、求购地址：https://www.jiaokey.com/book/detail/13630421.html</w:t>
      </w:r>
    </w:p>
    <w:p>
      <w:r>
        <w:t>更多相关图书推荐：https://www.jiaokey.com</w:t>
      </w:r>
    </w:p>
    <w:p>
      <w:r>
        <w:t>（英）拜拉姆（ByramM.），（英）格伦迪（GurndyP.）编；余卫华导读 其他作品：https://www.jiaokey.com/tag/（英）拜拉姆（ByramM.），（英）格伦迪（GurndyP.）编；余卫华导读.html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关键词搜索：https://www.jiaokey.com/tag/语言教学中的情景与文化.html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