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民事法律原理与实务  第2版</w:t>
      </w:r>
    </w:p>
    <w:p>
      <w:r>
        <w:rPr>
          <w:rFonts w:ascii="宋体" w:hAnsi="宋体" w:eastAsia="宋体"/>
          <w:sz w:val="24"/>
        </w:rPr>
        <w:t>胡爱国主编；陆岳松，闵敢副主编；胡爱国，陆岳松，沈友耀等撰稿；全国司法职业教育教学指导委员会审定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民事法律原理与实务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胡爱国主编；陆岳松，闵敢副主编；胡爱国，陆岳松，沈友耀等撰稿；全国司法职业教育教学指导委员会审定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本书出售、求购地址：https://www.jiaokey.com/book/detail/13629133.html</w:t>
      </w:r>
    </w:p>
    <w:p>
      <w:r>
        <w:t>更多相关图书推荐：https://www.jiaokey.com</w:t>
      </w:r>
    </w:p>
    <w:p>
      <w:r>
        <w:t>胡爱国主编；陆岳松，闵敢副主编；胡爱国，陆岳松，沈友耀等撰稿；全国司法职业教育教学指导委员会审定 其他作品：https://www.jiaokey.com/tag/胡爱国主编；陆岳松，闵敢副主编；胡爱国，陆岳松，沈友耀等撰稿；全国司法职业教育教学指导委员会审定.html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