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</w:t>
      </w:r>
    </w:p>
    <w:p>
      <w:r>
        <w:rPr>
          <w:rFonts w:ascii="宋体" w:hAnsi="宋体" w:eastAsia="宋体"/>
          <w:sz w:val="24"/>
        </w:rPr>
        <w:t>李海霞，屈冬梅主编；何立志，邵徽森，陈建堂等副主编；杨惠梅，王先敏，戴海燕等参编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李海霞，屈冬梅主编；何立志，邵徽森，陈建堂等副主编；杨惠梅，王先敏，戴海燕等参编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本书出售、求购地址：https://www.jiaokey.com/book/detail/13625801.html</w:t>
      </w:r>
    </w:p>
    <w:p>
      <w:r>
        <w:t>更多相关图书推荐：https://www.jiaokey.com</w:t>
      </w:r>
    </w:p>
    <w:p>
      <w:r>
        <w:t>李海霞，屈冬梅主编；何立志，邵徽森，陈建堂等副主编；杨惠梅，王先敏，戴海燕等参编 其他作品：https://www.jiaokey.com/tag/李海霞，屈冬梅主编；何立志，邵徽森，陈建堂等副主编；杨惠梅，王先敏，戴海燕等参编.html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关键词搜索：https://www.jiaokey.com/tag/建设工程法规.html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