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101年提升水利防灾紧急应变作业能力计画</w:t>
      </w:r>
    </w:p>
    <w:p>
      <w:r>
        <w:rPr>
          <w:rFonts w:ascii="宋体" w:hAnsi="宋体" w:eastAsia="宋体"/>
          <w:sz w:val="24"/>
        </w:rPr>
        <w:t>巫仲明编著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101年提升水利防灾紧急应变作业能力计画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巫仲明编著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经济部水利署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本书出售、求购地址：https://www.jiaokey.com/book/detail/13625718.html</w:t>
      </w:r>
    </w:p>
    <w:p>
      <w:r>
        <w:t>更多相关图书推荐：https://www.jiaokey.com</w:t>
      </w:r>
    </w:p>
    <w:p>
      <w:r>
        <w:t>巫仲明编著 其他作品：https://www.jiaokey.com/tag/巫仲明编著.html</w:t>
      </w:r>
    </w:p>
    <w:p>
      <w:r>
        <w:t>经济部水利署 出版图书：https://www.jiaokey.com/tag/经济部水利署.html</w:t>
      </w:r>
    </w:p>
    <w:p>
      <w:r>
        <w:t>关键词搜索：https://www.jiaokey.com/tag/101年提升水利防灾紧急应变作业能力计画.html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