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贵州省人民政府行政规章和政策措施选编  1997-2003</w:t>
      </w:r>
    </w:p>
    <w:p>
      <w:r>
        <w:rPr>
          <w:rFonts w:ascii="宋体" w:hAnsi="宋体" w:eastAsia="宋体"/>
          <w:sz w:val="24"/>
        </w:rPr>
        <w:t>贵州省人民政府《贵州政报》社编辑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贵州省人民政府行政规章和政策措施选编  1997-2003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贵州省人民政府《贵州政报》社编辑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本书出售、求购地址：https://www.jiaokey.com/book/detail/13624185.html</w:t>
      </w:r>
    </w:p>
    <w:p>
      <w:r>
        <w:t>更多相关图书推荐：https://www.jiaokey.com</w:t>
      </w:r>
    </w:p>
    <w:p>
      <w:r>
        <w:t>贵州省人民政府《贵州政报》社编辑 其他作品：https://www.jiaokey.com/tag/贵州省人民政府《贵州政报》社编辑.html</w:t>
      </w:r>
    </w:p>
    <w:p>
      <w:r>
        <w:t>关键词搜索：https://www.jiaokey.com/tag/贵州省人民政府行政规章和政策措施选编  1997-2003.html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