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世界铁矿资源开发实践</w:t>
      </w:r>
    </w:p>
    <w:p>
      <w:r>
        <w:rPr>
          <w:rFonts w:ascii="宋体" w:hAnsi="宋体" w:eastAsia="宋体"/>
          <w:sz w:val="24"/>
        </w:rPr>
        <w:t>焦玉书主编；姜圣才，王靖文副主编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世界铁矿资源开发实践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焦玉书主编；姜圣才，王靖文副主编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本书出售、求购地址：https://www.jiaokey.com/book/detail/13623571.html</w:t>
      </w:r>
    </w:p>
    <w:p>
      <w:r>
        <w:t>更多相关图书推荐：https://www.jiaokey.com</w:t>
      </w:r>
    </w:p>
    <w:p>
      <w:r>
        <w:t>焦玉书主编；姜圣才，王靖文副主编 其他作品：https://www.jiaokey.com/tag/焦玉书主编；姜圣才，王靖文副主编.html</w:t>
      </w:r>
    </w:p>
    <w:p>
      <w:r>
        <w:t>关键词搜索：https://www.jiaokey.com/tag/世界铁矿资源开发实践.html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