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北京市高级人民法院《专利侵权判定指南》理解与适用</w:t>
      </w:r>
    </w:p>
    <w:p>
      <w:r>
        <w:rPr>
          <w:rFonts w:ascii="宋体" w:hAnsi="宋体" w:eastAsia="宋体"/>
          <w:sz w:val="24"/>
        </w:rPr>
        <w:t>北京市高级人民法院知识产权审判庭编；王明达主编；陈锦川副主编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北京市高级人民法院《专利侵权判定指南》理解与适用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北京市高级人民法院知识产权审判庭编；王明达主编；陈锦川副主编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本书出售、求购地址：https://www.jiaokey.com/book/detail/13623527.html</w:t>
      </w:r>
    </w:p>
    <w:p>
      <w:r>
        <w:t>更多相关图书推荐：https://www.jiaokey.com</w:t>
      </w:r>
    </w:p>
    <w:p>
      <w:r>
        <w:t>北京市高级人民法院知识产权审判庭编；王明达主编；陈锦川副主编 其他作品：https://www.jiaokey.com/tag/北京市高级人民法院知识产权审判庭编；王明达主编；陈锦川副主编.html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关键词搜索：https://www.jiaokey.com/tag/北京市高级人民法院《专利侵权判定指南》理解与适用.html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