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实用临床寄生虫病实验室诊断</w:t>
      </w:r>
    </w:p>
    <w:p>
      <w:r>
        <w:rPr>
          <w:rFonts w:ascii="宋体" w:hAnsi="宋体" w:eastAsia="宋体"/>
          <w:sz w:val="24"/>
        </w:rPr>
        <w:t>许正敏，李智山主编；赵建忠，李明，朱国勇等副主编；王辉，王蓉，王建伟等编；孙莉，许果学术秘书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实用临床寄生虫病实验室诊断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许正敏，李智山主编；赵建忠，李明，朱国勇等副主编；王辉，王蓉，王建伟等编；孙莉，许果学术秘书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本书出售、求购地址：https://www.jiaokey.com/book/detail/13622862.html</w:t>
      </w:r>
    </w:p>
    <w:p>
      <w:r>
        <w:t>更多相关图书推荐：https://www.jiaokey.com</w:t>
      </w:r>
    </w:p>
    <w:p>
      <w:r>
        <w:t>许正敏，李智山主编；赵建忠，李明，朱国勇等副主编；王辉，王蓉，王建伟等编；孙莉，许果学术秘书 其他作品：https://www.jiaokey.com/tag/许正敏，李智山主编；赵建忠，李明，朱国勇等副主编；王辉，王蓉，王建伟等编；孙莉，许果学术秘书.html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关键词搜索：https://www.jiaokey.com/tag/实用临床寄生虫病实验室诊断.html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