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动画分镜头设计  彩印</w:t>
      </w:r>
    </w:p>
    <w:p>
      <w:r>
        <w:rPr>
          <w:rFonts w:ascii="宋体" w:hAnsi="宋体" w:eastAsia="宋体"/>
          <w:sz w:val="24"/>
        </w:rPr>
        <w:t>吕静锋，詹敏玲主编；罗忠，高强，鲁丹丽副主编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动画分镜头设计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吕静锋，詹敏玲主编；罗忠，高强，鲁丹丽副主编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本书出售、求购地址：https://www.jiaokey.com/book/detail/13621037.html</w:t>
      </w:r>
    </w:p>
    <w:p>
      <w:r>
        <w:t>更多相关图书推荐：https://www.jiaokey.com</w:t>
      </w:r>
    </w:p>
    <w:p>
      <w:r>
        <w:t>吕静锋，詹敏玲主编；罗忠，高强，鲁丹丽副主编 其他作品：https://www.jiaokey.com/tag/吕静锋，詹敏玲主编；罗忠，高强，鲁丹丽副主编.html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关键词搜索：https://www.jiaokey.com/tag/动画分镜头设计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