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非常上诉制度之研究</w:t>
      </w:r>
    </w:p>
    <w:p>
      <w:r>
        <w:rPr>
          <w:rFonts w:ascii="宋体" w:hAnsi="宋体" w:eastAsia="宋体"/>
          <w:sz w:val="24"/>
        </w:rPr>
        <w:t>李春福著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非常上诉制度之研究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承法数位文化有限公司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本书出售、求购地址：https://www.jiaokey.com/book/detail/13619621.html</w:t>
      </w:r>
    </w:p>
    <w:p>
      <w:r>
        <w:t>更多相关图书推荐：https://www.jiaokey.com</w:t>
      </w:r>
    </w:p>
    <w:p>
      <w:r>
        <w:t>李春福著 其他作品：https://www.jiaokey.com/tag/李春福著.html</w:t>
      </w:r>
    </w:p>
    <w:p>
      <w:r>
        <w:t>承法数位文化有限公司 出版图书：https://www.jiaokey.com/tag/承法数位文化有限公司.html</w:t>
      </w:r>
    </w:p>
    <w:p>
      <w:r>
        <w:t>关键词搜索：https://www.jiaokey.com/tag/非常上诉制度之研究.html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