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今日世界外交之焦点</w:t>
      </w:r>
    </w:p>
    <w:p>
      <w:r>
        <w:rPr>
          <w:rFonts w:ascii="宋体" w:hAnsi="宋体" w:eastAsia="宋体"/>
          <w:sz w:val="24"/>
        </w:rPr>
        <w:t>阿耳那著；张虹君译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今日世界外交之焦点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阿耳那著；张虹君译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本书出售、求购地址：https://www.jiaokey.com/book/detail/13617193.html</w:t>
      </w:r>
    </w:p>
    <w:p>
      <w:r>
        <w:t>更多相关图书推荐：https://www.jiaokey.com</w:t>
      </w:r>
    </w:p>
    <w:p>
      <w:r>
        <w:t>阿耳那著；张虹君译 其他作品：https://www.jiaokey.com/tag/阿耳那著；张虹君译.html</w:t>
      </w:r>
    </w:p>
    <w:p>
      <w:r>
        <w:t>文化学社 出版图书：https://www.jiaokey.com/tag/文化学社.html</w:t>
      </w:r>
    </w:p>
    <w:p>
      <w:r>
        <w:t>关键词搜索：https://www.jiaokey.com/tag/今日世界外交之焦点.html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