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会计制度设计  第5版</w:t>
      </w:r>
    </w:p>
    <w:p>
      <w:r>
        <w:rPr>
          <w:rFonts w:ascii="宋体" w:hAnsi="宋体" w:eastAsia="宋体"/>
          <w:sz w:val="24"/>
        </w:rPr>
        <w:t>孙光国，陈艳利，刘英明主编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会计制度设计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孙光国，陈艳利，刘英明主编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本书出售、求购地址：https://www.jiaokey.com/book/detail/13616164.html</w:t>
      </w:r>
    </w:p>
    <w:p>
      <w:r>
        <w:t>更多相关图书推荐：https://www.jiaokey.com</w:t>
      </w:r>
    </w:p>
    <w:p>
      <w:r>
        <w:t>孙光国，陈艳利，刘英明主编 其他作品：https://www.jiaokey.com/tag/孙光国，陈艳利，刘英明主编.html</w:t>
      </w:r>
    </w:p>
    <w:p>
      <w:r>
        <w:t>大连：东北财经大学出版社 出版图书：https://www.jiaokey.com/tag/大连：东北财经大学出版社.html</w:t>
      </w:r>
    </w:p>
    <w:p>
      <w:r>
        <w:t>关键词搜索：https://www.jiaokey.com/tag/会计制度设计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