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电子证据调查指南</w:t>
      </w:r>
    </w:p>
    <w:p>
      <w:r>
        <w:rPr>
          <w:rFonts w:ascii="宋体" w:hAnsi="宋体" w:eastAsia="宋体"/>
          <w:sz w:val="24"/>
        </w:rPr>
        <w:t>戴士剑，刘品新主编；陈景春，滕达，方勇，丁丽萍副主编；陈刚，李学军，杜春鹏审定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电子证据调查指南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戴士剑，刘品新主编；陈景春，滕达，方勇，丁丽萍副主编；陈刚，李学军，杜春鹏审定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本书出售、求购地址：https://www.jiaokey.com/book/detail/13615861.html</w:t>
      </w:r>
    </w:p>
    <w:p>
      <w:r>
        <w:t>更多相关图书推荐：https://www.jiaokey.com</w:t>
      </w:r>
    </w:p>
    <w:p>
      <w:r>
        <w:t>戴士剑，刘品新主编；陈景春，滕达，方勇，丁丽萍副主编；陈刚，李学军，杜春鹏审定 其他作品：https://www.jiaokey.com/tag/戴士剑，刘品新主编；陈景春，滕达，方勇，丁丽萍副主编；陈刚，李学军，杜春鹏审定.html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关键词搜索：https://www.jiaokey.com/tag/电子证据调查指南.html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