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涉案行政案件查处工作规范化指南</w:t>
      </w:r>
    </w:p>
    <w:p>
      <w:r>
        <w:rPr>
          <w:rFonts w:ascii="宋体" w:hAnsi="宋体" w:eastAsia="宋体"/>
          <w:sz w:val="24"/>
        </w:rPr>
        <w:t>张晓春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涉案行政案件查处工作规范化指南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本书出售、求购地址：https://www.jiaokey.com/book/detail/13614938.html</w:t>
      </w:r>
    </w:p>
    <w:p>
      <w:r>
        <w:t>更多相关图书推荐：https://www.jiaokey.com</w:t>
      </w:r>
    </w:p>
    <w:p>
      <w:r>
        <w:t>张晓春 其他作品：https://www.jiaokey.com/tag/张晓春.html</w:t>
      </w:r>
    </w:p>
    <w:p>
      <w:r>
        <w:t>关键词搜索：https://www.jiaokey.com/tag/涉案行政案件查处工作规范化指南.html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