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寻求案例  创伤后应激障碍和物质滥用治疗手册</w:t>
      </w:r>
    </w:p>
    <w:p>
      <w:r>
        <w:rPr>
          <w:rFonts w:ascii="宋体" w:hAnsi="宋体" w:eastAsia="宋体"/>
          <w:sz w:val="24"/>
        </w:rPr>
        <w:t>（美）娜佳维茨著；童慧琦，王振，王文等译；肖泽萍，施琪嘉审校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寻求案例  创伤后应激障碍和物质滥用治疗手册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（美）娜佳维茨著；童慧琦，王振，王文等译；肖泽萍，施琪嘉审校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本书出售、求购地址：https://www.jiaokey.com/book/detail/13614079.html</w:t>
      </w:r>
    </w:p>
    <w:p>
      <w:r>
        <w:t>更多相关图书推荐：https://www.jiaokey.com</w:t>
      </w:r>
    </w:p>
    <w:p>
      <w:r>
        <w:t>（美）娜佳维茨著；童慧琦，王振，王文等译；肖泽萍，施琪嘉审校 其他作品：https://www.jiaokey.com/tag/（美）娜佳维茨著；童慧琦，王振，王文等译；肖泽萍，施琪嘉审校.html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关键词搜索：https://www.jiaokey.com/tag/寻求案例  创伤后应激障碍和物质滥用治疗手册.html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