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行政事业单位内部控制规范解读</w:t>
      </w:r>
    </w:p>
    <w:p>
      <w:r>
        <w:rPr>
          <w:rFonts w:ascii="宋体" w:hAnsi="宋体" w:eastAsia="宋体"/>
          <w:sz w:val="24"/>
        </w:rPr>
        <w:t>周学云，张灼主编；崔亮，陈汉明，徐俊，李建伟，曾钧，杨超副主编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行政事业单位内部控制规范解读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周学云，张灼主编；崔亮，陈汉明，徐俊，李建伟，曾钧，杨超副主编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本书出售、求购地址：https://www.jiaokey.com/book/detail/13610811.html</w:t>
      </w:r>
    </w:p>
    <w:p>
      <w:r>
        <w:t>更多相关图书推荐：https://www.jiaokey.com</w:t>
      </w:r>
    </w:p>
    <w:p>
      <w:r>
        <w:t>周学云，张灼主编；崔亮，陈汉明，徐俊，李建伟，曾钧，杨超副主编 其他作品：https://www.jiaokey.com/tag/周学云，张灼主编；崔亮，陈汉明，徐俊，李建伟，曾钧，杨超副主编.html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关键词搜索：https://www.jiaokey.com/tag/行政事业单位内部控制规范解读.html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