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</w:t>
      </w:r>
    </w:p>
    <w:p>
      <w:r>
        <w:rPr>
          <w:rFonts w:ascii="宋体" w:hAnsi="宋体" w:eastAsia="宋体"/>
          <w:sz w:val="24"/>
        </w:rPr>
        <w:t>杨建军，李长河主编；孙晋美，杨发展，赵小军副主编；赵万华主审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杨建军，李长河主编；孙晋美，杨发展，赵小军副主编；赵万华主审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本书出售、求购地址：https://www.jiaokey.com/book/detail/13610339.html</w:t>
      </w:r>
    </w:p>
    <w:p>
      <w:r>
        <w:t>更多相关图书推荐：https://www.jiaokey.com</w:t>
      </w:r>
    </w:p>
    <w:p>
      <w:r>
        <w:t>杨建军，李长河主编；孙晋美，杨发展，赵小军副主编；赵万华主审 其他作品：https://www.jiaokey.com/tag/杨建军，李长河主编；孙晋美，杨发展，赵小军副主编；赵万华主审.html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关键词搜索：https://www.jiaokey.com/tag/金属切削机床设计.html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