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燕园论道看港澳：香港特区对外事务的国际法视角 澳门特区的政制发展与法律改革</w:t>
      </w:r>
    </w:p>
    <w:p>
      <w:r>
        <w:rPr>
          <w:rFonts w:ascii="宋体" w:hAnsi="宋体" w:eastAsia="宋体"/>
          <w:sz w:val="24"/>
        </w:rPr>
        <w:t>饶戈平主编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燕园论道看港澳：香港特区对外事务的国际法视角 澳门特区的政制发展与法律改革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饶戈平主编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本书出售、求购地址：https://www.jiaokey.com/book/detail/13608174.html</w:t>
      </w:r>
    </w:p>
    <w:p>
      <w:r>
        <w:t>更多相关图书推荐：https://www.jiaokey.com</w:t>
      </w:r>
    </w:p>
    <w:p>
      <w:r>
        <w:t>饶戈平主编 其他作品：https://www.jiaokey.com/tag/饶戈平主编.html</w:t>
      </w:r>
    </w:p>
    <w:p>
      <w:r>
        <w:t>关键词搜索：https://www.jiaokey.com/tag/燕园论道看港澳：香港特区对外事务的国际法视角 澳门特区的政制发展与法律改革.html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