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权力公开透明运行与常熟实践</w:t>
      </w:r>
    </w:p>
    <w:p>
      <w:r>
        <w:rPr>
          <w:rFonts w:ascii="宋体" w:hAnsi="宋体" w:eastAsia="宋体"/>
          <w:sz w:val="24"/>
        </w:rPr>
        <w:t>高祖林，方世南，田芝健，施亚东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权力公开透明运行与常熟实践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高祖林，方世南，田芝健，施亚东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本书出售、求购地址：https://www.jiaokey.com/book/detail/13603189.html</w:t>
      </w:r>
    </w:p>
    <w:p>
      <w:r>
        <w:t>更多相关图书推荐：https://www.jiaokey.com</w:t>
      </w:r>
    </w:p>
    <w:p>
      <w:r>
        <w:t>高祖林，方世南，田芝健，施亚东 其他作品：https://www.jiaokey.com/tag/高祖林，方世南，田芝健，施亚东.html</w:t>
      </w:r>
    </w:p>
    <w:p>
      <w:r>
        <w:t>上海三联出版社 出版图书：https://www.jiaokey.com/tag/上海三联出版社.html</w:t>
      </w:r>
    </w:p>
    <w:p>
      <w:r>
        <w:t>关键词搜索：https://www.jiaokey.com/tag/权力公开透明运行与常熟实践.html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