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常见妇科恶性肿瘤诊治指南</w:t>
      </w:r>
    </w:p>
    <w:p>
      <w:r>
        <w:rPr>
          <w:rFonts w:ascii="宋体" w:hAnsi="宋体" w:eastAsia="宋体"/>
          <w:sz w:val="24"/>
        </w:rPr>
        <w:t>郎景和，曹泽毅名誉主编；沈铿，崔恒，丰有吉主编；曹泽毅，陈子江，程晓东等编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常见妇科恶性肿瘤诊治指南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郎景和，曹泽毅名誉主编；沈铿，崔恒，丰有吉主编；曹泽毅，陈子江，程晓东等编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本书出售、求购地址：https://www.jiaokey.com/book/detail/13602345.html</w:t>
      </w:r>
    </w:p>
    <w:p>
      <w:r>
        <w:t>更多相关图书推荐：https://www.jiaokey.com</w:t>
      </w:r>
    </w:p>
    <w:p>
      <w:r>
        <w:t>郎景和，曹泽毅名誉主编；沈铿，崔恒，丰有吉主编；曹泽毅，陈子江，程晓东等编 其他作品：https://www.jiaokey.com/tag/郎景和，曹泽毅名誉主编；沈铿，崔恒，丰有吉主编；曹泽毅，陈子江，程晓东等编.html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关键词搜索：https://www.jiaokey.com/tag/常见妇科恶性肿瘤诊治指南.html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