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</w:t>
      </w:r>
    </w:p>
    <w:p>
      <w:r>
        <w:rPr>
          <w:rFonts w:ascii="宋体" w:hAnsi="宋体" w:eastAsia="宋体"/>
          <w:sz w:val="24"/>
        </w:rPr>
        <w:t>冯铭琴主编；阮秋菊副主编；梁少娟，高晓龙，彭乃才等参编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冯铭琴主编；阮秋菊副主编；梁少娟，高晓龙，彭乃才等参编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本书出售、求购地址：https://www.jiaokey.com/book/detail/13601508.html</w:t>
      </w:r>
    </w:p>
    <w:p>
      <w:r>
        <w:t>更多相关图书推荐：https://www.jiaokey.com</w:t>
      </w:r>
    </w:p>
    <w:p>
      <w:r>
        <w:t>冯铭琴主编；阮秋菊副主编；梁少娟，高晓龙，彭乃才等参编 其他作品：https://www.jiaokey.com/tag/冯铭琴主编；阮秋菊副主编；梁少娟，高晓龙，彭乃才等参编.html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