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脑卒中高级护理临床实践</w:t>
      </w:r>
    </w:p>
    <w:p>
      <w:r>
        <w:rPr>
          <w:rFonts w:ascii="宋体" w:hAnsi="宋体" w:eastAsia="宋体"/>
          <w:sz w:val="24"/>
        </w:rPr>
        <w:t>魏琳主编；叶日春，胡采霞副主编；叶日春，叶雪珍，朱文燕等编；李月凤，莫苗苗校稿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脑卒中高级护理临床实践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魏琳主编；叶日春，胡采霞副主编；叶日春，叶雪珍，朱文燕等编；李月凤，莫苗苗校稿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本书出售、求购地址：https://www.jiaokey.com/book/detail/13600801.html</w:t>
      </w:r>
    </w:p>
    <w:p>
      <w:r>
        <w:t>更多相关图书推荐：https://www.jiaokey.com</w:t>
      </w:r>
    </w:p>
    <w:p>
      <w:r>
        <w:t>魏琳主编；叶日春，胡采霞副主编；叶日春，叶雪珍，朱文燕等编；李月凤，莫苗苗校稿 其他作品：https://www.jiaokey.com/tag/魏琳主编；叶日春，胡采霞副主编；叶日春，叶雪珍，朱文燕等编；李月凤，莫苗苗校稿.html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关键词搜索：https://www.jiaokey.com/tag/脑卒中高级护理临床实践.html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