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GB23350-2009《限制商品过度包装要求 食品和化妆品》实施指南</w:t>
      </w:r>
    </w:p>
    <w:p>
      <w:r>
        <w:rPr>
          <w:rFonts w:ascii="宋体" w:hAnsi="宋体" w:eastAsia="宋体"/>
          <w:sz w:val="24"/>
        </w:rPr>
        <w:t>本标准起草组编著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GB23350-2009《限制商品过度包装要求 食品和化妆品》实施指南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本标准起草组编著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本书出售、求购地址：https://www.jiaokey.com/book/detail/13598953.html</w:t>
      </w:r>
    </w:p>
    <w:p>
      <w:r>
        <w:t>更多相关图书推荐：https://www.jiaokey.com</w:t>
      </w:r>
    </w:p>
    <w:p>
      <w:r>
        <w:t>本标准起草组编著 其他作品：https://www.jiaokey.com/tag/本标准起草组编著.html</w:t>
      </w:r>
    </w:p>
    <w:p>
      <w:r>
        <w:t>关键词搜索：https://www.jiaokey.com/tag/GB23350-2009《限制商品过度包装要求 食品和化妆品》实施指南.html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