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劳动与社会保障法原理与实务</w:t>
      </w:r>
    </w:p>
    <w:p>
      <w:r>
        <w:rPr>
          <w:rFonts w:ascii="宋体" w:hAnsi="宋体" w:eastAsia="宋体"/>
          <w:sz w:val="24"/>
        </w:rPr>
        <w:t>陆岳松主编；胡艳梅副主编；陆岳松，郭昕，杨璐娜，胡艳梅撰稿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陆岳松主编；胡艳梅副主编；陆岳松，郭昕，杨璐娜，胡艳梅撰稿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本书出售、求购地址：https://www.jiaokey.com/book/detail/13598716.html</w:t>
      </w:r>
    </w:p>
    <w:p>
      <w:r>
        <w:t>更多相关图书推荐：https://www.jiaokey.com</w:t>
      </w:r>
    </w:p>
    <w:p>
      <w:r>
        <w:t>陆岳松主编；胡艳梅副主编；陆岳松，郭昕，杨璐娜，胡艳梅撰稿 其他作品：https://www.jiaokey.com/tag/陆岳松主编；胡艳梅副主编；陆岳松，郭昕，杨璐娜，胡艳梅撰稿.html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关键词搜索：https://www.jiaokey.com/tag/劳动与社会保障法原理与实务.html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