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中国需要现代化的遗产税  观德国遗产税</w:t>
      </w:r>
    </w:p>
    <w:p>
      <w:r>
        <w:rPr>
          <w:rFonts w:ascii="宋体" w:hAnsi="宋体" w:eastAsia="宋体"/>
          <w:sz w:val="24"/>
        </w:rPr>
        <w:t>张巍 著 · 教客网电子书</w:t>
      </w:r>
    </w:p>
    <w:p>
      <w:r>
        <w:t>找书就上教客网 —— www.jiaokey.com</w:t>
      </w:r>
    </w:p>
    <w:p/>
    <w:p>
      <w:r>
        <w:drawing>
          <wp:inline xmlns:a="http://schemas.openxmlformats.org/drawingml/2006/main" xmlns:pic="http://schemas.openxmlformats.org/drawingml/2006/picture">
            <wp:extent cx="2743200" cy="4162508"/>
            <wp:docPr id="1" name="Picture 1"/>
            <wp:cNvGraphicFramePr>
              <a:graphicFrameLocks noChangeAspect="1"/>
            </wp:cNvGraphicFramePr>
            <a:graphic>
              <a:graphicData uri="http://schemas.openxmlformats.org/drawingml/2006/picture">
                <pic:pic>
                  <pic:nvPicPr>
                    <pic:cNvPr id="0" name="13598063.jpg"/>
                    <pic:cNvPicPr/>
                  </pic:nvPicPr>
                  <pic:blipFill>
                    <a:blip r:embed="rId9"/>
                    <a:stretch>
                      <a:fillRect/>
                    </a:stretch>
                  </pic:blipFill>
                  <pic:spPr>
                    <a:xfrm>
                      <a:off x="0" y="0"/>
                      <a:ext cx="2743200" cy="4162508"/>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中国需要现代化的遗产税  观德国遗产税</w:t>
            </w:r>
          </w:p>
        </w:tc>
      </w:tr>
      <w:tr>
        <w:tc>
          <w:tcPr>
            <w:tcW w:type="dxa" w:w="4320"/>
          </w:tcPr>
          <w:p>
            <w:r>
              <w:t>作者</w:t>
            </w:r>
          </w:p>
        </w:tc>
        <w:tc>
          <w:tcPr>
            <w:tcW w:type="dxa" w:w="4320"/>
          </w:tcPr>
          <w:p>
            <w:r>
              <w:t>张巍</w:t>
            </w:r>
          </w:p>
        </w:tc>
      </w:tr>
      <w:tr>
        <w:tc>
          <w:tcPr>
            <w:tcW w:type="dxa" w:w="4320"/>
          </w:tcPr>
          <w:p>
            <w:r>
              <w:t>出版社</w:t>
            </w:r>
          </w:p>
        </w:tc>
        <w:tc>
          <w:tcPr>
            <w:tcW w:type="dxa" w:w="4320"/>
          </w:tcPr>
          <w:p>
            <w:r>
              <w:t>杭州：浙江工商大学出版社</w:t>
            </w:r>
          </w:p>
        </w:tc>
      </w:tr>
      <w:tr>
        <w:tc>
          <w:tcPr>
            <w:tcW w:type="dxa" w:w="4320"/>
          </w:tcPr>
          <w:p>
            <w:r>
              <w:t>ISBN</w:t>
            </w:r>
          </w:p>
        </w:tc>
        <w:tc>
          <w:tcPr>
            <w:tcW w:type="dxa" w:w="4320"/>
          </w:tcPr>
          <w:p>
            <w:r>
              <w:t>9787517805021</w:t>
            </w:r>
          </w:p>
        </w:tc>
      </w:tr>
      <w:tr>
        <w:tc>
          <w:tcPr>
            <w:tcW w:type="dxa" w:w="4320"/>
          </w:tcPr>
          <w:p>
            <w:r>
              <w:t>出版日期</w:t>
            </w:r>
          </w:p>
        </w:tc>
        <w:tc>
          <w:tcPr>
            <w:tcW w:type="dxa" w:w="4320"/>
          </w:tcPr>
          <w:p>
            <w:r>
              <w:t>2014-07-01</w:t>
            </w:r>
          </w:p>
        </w:tc>
      </w:tr>
      <w:tr>
        <w:tc>
          <w:tcPr>
            <w:tcW w:type="dxa" w:w="4320"/>
          </w:tcPr>
          <w:p>
            <w:r>
              <w:t>页数</w:t>
            </w:r>
          </w:p>
        </w:tc>
        <w:tc>
          <w:tcPr>
            <w:tcW w:type="dxa" w:w="4320"/>
          </w:tcPr>
          <w:p>
            <w:r>
              <w:t>162</w:t>
            </w:r>
          </w:p>
        </w:tc>
      </w:tr>
      <w:tr>
        <w:tc>
          <w:tcPr>
            <w:tcW w:type="dxa" w:w="4320"/>
          </w:tcPr>
          <w:p>
            <w:r>
              <w:t>价格</w:t>
            </w:r>
          </w:p>
        </w:tc>
        <w:tc>
          <w:tcPr>
            <w:tcW w:type="dxa" w:w="4320"/>
          </w:tcPr>
          <w:p>
            <w:r/>
          </w:p>
        </w:tc>
      </w:tr>
      <w:tr>
        <w:tc>
          <w:tcPr>
            <w:tcW w:type="dxa" w:w="4320"/>
          </w:tcPr>
          <w:p>
            <w:r>
              <w:t>关键词</w:t>
            </w:r>
          </w:p>
        </w:tc>
        <w:tc>
          <w:tcPr>
            <w:tcW w:type="dxa" w:w="4320"/>
          </w:tcPr>
          <w:p>
            <w:r>
              <w:t>遗产税-研究-德国</w:t>
            </w:r>
          </w:p>
        </w:tc>
      </w:tr>
      <w:tr>
        <w:tc>
          <w:tcPr>
            <w:tcW w:type="dxa" w:w="4320"/>
          </w:tcPr>
          <w:p>
            <w:r>
              <w:t>分类</w:t>
            </w:r>
          </w:p>
        </w:tc>
        <w:tc>
          <w:tcPr>
            <w:tcW w:type="dxa" w:w="4320"/>
          </w:tcPr>
          <w:p>
            <w:r>
              <w:t>欧洲财政</w:t>
            </w:r>
          </w:p>
        </w:tc>
      </w:tr>
    </w:tbl>
    <w:p/>
    <w:p>
      <w:pPr>
        <w:pStyle w:val="Heading1"/>
      </w:pPr>
      <w:r>
        <w:t>图书介绍</w:t>
      </w:r>
    </w:p>
    <w:p>
      <w:r>
        <w:t>本书从中国读者的理解度出发深入浅出地介绍德国高度现代化成熟的遗产税，提出符合中国实际的参考内容。同时介绍了现代化税法的基本知识，以望对将来中国遗产税法的订立提供有益的参考。最后，该书稿从中国的实际出发，说明中国目前关于遗产税的现状，进一步申明中国对现代化遗产税的需求。</w:t>
      </w:r>
    </w:p>
    <w:p/>
    <w:p>
      <w:r>
        <w:t>本书出售、求购地址：https://www.jiaokey.com/book/detail/13598063.html</w:t>
      </w:r>
    </w:p>
    <w:p>
      <w:r>
        <w:t>更多欧洲财政图书推荐：https://www.jiaokey.com</w:t>
      </w:r>
    </w:p>
    <w:p>
      <w:r>
        <w:t>张巍 其他作品：https://www.jiaokey.com/tag/张巍.html</w:t>
      </w:r>
    </w:p>
    <w:p>
      <w:r>
        <w:t>杭州：浙江工商大学出版社 出版图书：https://www.jiaokey.com/tag/杭州：浙江工商大学出版社.html</w:t>
      </w:r>
    </w:p>
    <w:p>
      <w:r>
        <w:t>关键词搜索：https://www.jiaokey.com/tag/遗产税-研究-德国.html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