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可转债治理机制及绩效研究=The Governance effects and long-term performance of issuing convertible bonds</w:t>
      </w:r>
    </w:p>
    <w:p>
      <w:r>
        <w:rPr>
          <w:rFonts w:ascii="宋体" w:hAnsi="宋体" w:eastAsia="宋体"/>
          <w:sz w:val="24"/>
        </w:rPr>
        <w:t>刘春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可转债治理机制及绩效研究=The Governance effects and long-term performance of issuing convertible bonds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本书出售、求购地址：https://www.jiaokey.com/book/detail/13596822.html</w:t>
      </w:r>
    </w:p>
    <w:p>
      <w:r>
        <w:t>更多相关图书推荐：https://www.jiaokey.com</w:t>
      </w:r>
    </w:p>
    <w:p>
      <w:r>
        <w:t>刘春 其他作品：https://www.jiaokey.com/tag/刘春.html</w:t>
      </w:r>
    </w:p>
    <w:p>
      <w:r>
        <w:t>关键词搜索：https://www.jiaokey.com/tag/可转债治理机制及绩效研究=The Governance effects and long-term performance of issuing convertible bonds.html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