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京津风沙源治理工程二期规划思路研究</w:t>
      </w:r>
    </w:p>
    <w:p>
      <w:r>
        <w:rPr>
          <w:rFonts w:ascii="宋体" w:hAnsi="宋体" w:eastAsia="宋体"/>
          <w:sz w:val="24"/>
        </w:rPr>
        <w:t>京津风沙源治理工程二期规划思路研究项目组编著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京津风沙源治理工程二期规划思路研究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京津风沙源治理工程二期规划思路研究项目组编著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本书出售、求购地址：https://www.jiaokey.com/book/detail/13594485.html</w:t>
      </w:r>
    </w:p>
    <w:p>
      <w:r>
        <w:t>更多相关图书推荐：https://www.jiaokey.com</w:t>
      </w:r>
    </w:p>
    <w:p>
      <w:r>
        <w:t>京津风沙源治理工程二期规划思路研究项目组编著 其他作品：https://www.jiaokey.com/tag/京津风沙源治理工程二期规划思路研究项目组编著.html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关键词搜索：https://www.jiaokey.com/tag/京津风沙源治理工程二期规划思路研究.html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