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黄河流域综合规划  2012-2030年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黄河流域综合规划  2012-2030年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本书出售、求购地址：https://www.jiaokey.com/book/detail/13593032.html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关键词搜索：https://www.jiaokey.com/tag/黄河流域综合规划  2012-2030年.html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