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</w:t>
      </w:r>
    </w:p>
    <w:p>
      <w:r>
        <w:rPr>
          <w:rFonts w:ascii="宋体" w:hAnsi="宋体" w:eastAsia="宋体"/>
          <w:sz w:val="24"/>
        </w:rPr>
        <w:t>冯文善，韦梅东，邓淑贤主编；赵霞，王瑾，樊倩，姜晖，韩玉涛副主编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冯文善，韦梅东，邓淑贤主编；赵霞，王瑾，樊倩，姜晖，韩玉涛副主编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本书出售、求购地址：https://www.jiaokey.com/book/detail/13592320.html</w:t>
      </w:r>
    </w:p>
    <w:p>
      <w:r>
        <w:t>更多相关图书推荐：https://www.jiaokey.com</w:t>
      </w:r>
    </w:p>
    <w:p>
      <w:r>
        <w:t>冯文善，韦梅东，邓淑贤主编；赵霞，王瑾，樊倩，姜晖，韩玉涛副主编 其他作品：https://www.jiaokey.com/tag/冯文善，韦梅东，邓淑贤主编；赵霞，王瑾，樊倩，姜晖，韩玉涛副主编.html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关键词搜索：https://www.jiaokey.com/tag/会计职业基础.html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