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水文学原理</w:t>
      </w:r>
    </w:p>
    <w:p>
      <w:r>
        <w:rPr>
          <w:rFonts w:ascii="宋体" w:hAnsi="宋体" w:eastAsia="宋体"/>
          <w:sz w:val="24"/>
        </w:rPr>
        <w:t>范世香，刁艳芳，刘冀主编；王刚，韩娜娜，谭秀翠，陈学群副主编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范世香，刁艳芳，刘冀主编；王刚，韩娜娜，谭秀翠，陈学群副主编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本书出售、求购地址：https://www.jiaokey.com/book/detail/13592232.html</w:t>
      </w:r>
    </w:p>
    <w:p>
      <w:r>
        <w:t>更多相关图书推荐：https://www.jiaokey.com</w:t>
      </w:r>
    </w:p>
    <w:p>
      <w:r>
        <w:t>范世香，刁艳芳，刘冀主编；王刚，韩娜娜，谭秀翠，陈学群副主编 其他作品：https://www.jiaokey.com/tag/范世香，刁艳芳，刘冀主编；王刚，韩娜娜，谭秀翠，陈学群副主编.html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