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灌区水生态修复和不同尺度灌区水资源问题研究</w:t>
      </w:r>
    </w:p>
    <w:p>
      <w:r>
        <w:rPr>
          <w:rFonts w:ascii="宋体" w:hAnsi="宋体" w:eastAsia="宋体"/>
          <w:sz w:val="24"/>
        </w:rPr>
        <w:t>赵振国，刘丽，黄修桥著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灌区水生态修复和不同尺度灌区水资源问题研究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赵振国，刘丽，黄修桥著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本书出售、求购地址：https://www.jiaokey.com/book/detail/13592173.html</w:t>
      </w:r>
    </w:p>
    <w:p>
      <w:r>
        <w:t>更多相关图书推荐：https://www.jiaokey.com</w:t>
      </w:r>
    </w:p>
    <w:p>
      <w:r>
        <w:t>赵振国，刘丽，黄修桥著 其他作品：https://www.jiaokey.com/tag/赵振国，刘丽，黄修桥著.html</w:t>
      </w:r>
    </w:p>
    <w:p>
      <w:r>
        <w:t>北京：中国水利水电 出版图书：https://www.jiaokey.com/tag/北京：中国水利水电.html</w:t>
      </w:r>
    </w:p>
    <w:p>
      <w:r>
        <w:t>关键词搜索：https://www.jiaokey.com/tag/灌区水生态修复和不同尺度灌区水资源问题研究.html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