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  原理·策略·禁忌</w:t>
      </w:r>
    </w:p>
    <w:p>
      <w:r>
        <w:rPr>
          <w:rFonts w:ascii="宋体" w:hAnsi="宋体" w:eastAsia="宋体"/>
          <w:sz w:val="24"/>
        </w:rPr>
        <w:t>戴军主编；刘陆梅，刘章文，狄建勇，候云辉，单敏飞副主编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  原理·策略·禁忌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戴军主编；刘陆梅，刘章文，狄建勇，候云辉，单敏飞副主编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本书出售、求购地址：https://www.jiaokey.com/book/detail/13590795.html</w:t>
      </w:r>
    </w:p>
    <w:p>
      <w:r>
        <w:t>更多相关图书推荐：https://www.jiaokey.com</w:t>
      </w:r>
    </w:p>
    <w:p>
      <w:r>
        <w:t>戴军主编；刘陆梅，刘章文，狄建勇，候云辉，单敏飞副主编 其他作品：https://www.jiaokey.com/tag/戴军主编；刘陆梅，刘章文，狄建勇，候云辉，单敏飞副主编.html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关键词搜索：https://www.jiaokey.com/tag/商务谈判  原理·策略·禁忌.html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