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画法几何及工程制图  机械类  第3版</w:t>
      </w:r>
    </w:p>
    <w:p>
      <w:r>
        <w:rPr>
          <w:rFonts w:ascii="宋体" w:hAnsi="宋体" w:eastAsia="宋体"/>
          <w:sz w:val="24"/>
        </w:rPr>
        <w:t>王兰美，殷昌贵主编；冯秋官，马智英，董大勇副主编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画法几何及工程制图  机械类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王兰美，殷昌贵主编；冯秋官，马智英，董大勇副主编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本书出售、求购地址：https://www.jiaokey.com/book/detail/13588972.html</w:t>
      </w:r>
    </w:p>
    <w:p>
      <w:r>
        <w:t>更多相关图书推荐：https://www.jiaokey.com</w:t>
      </w:r>
    </w:p>
    <w:p>
      <w:r>
        <w:t>王兰美，殷昌贵主编；冯秋官，马智英，董大勇副主编 其他作品：https://www.jiaokey.com/tag/王兰美，殷昌贵主编；冯秋官，马智英，董大勇副主编.html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关键词搜索：https://www.jiaokey.com/tag/“十二五”普通高等教育本科国家级规划教材  画法几何及工程制图  机械类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