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海军的战略和文化  海军所想所为为什么不一样</w:t>
      </w:r>
    </w:p>
    <w:p>
      <w:r>
        <w:rPr>
          <w:rFonts w:ascii="宋体" w:hAnsi="宋体" w:eastAsia="宋体"/>
          <w:sz w:val="24"/>
        </w:rPr>
        <w:t>（美）罗杰·W.巴尼特著；吴东风，孙迪辉，李园芳译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海军的战略和文化  海军所想所为为什么不一样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（美）罗杰·W.巴尼特著；吴东风，孙迪辉，李园芳译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本书出售、求购地址：https://www.jiaokey.com/book/detail/13585520.html</w:t>
      </w:r>
    </w:p>
    <w:p>
      <w:r>
        <w:t>更多相关图书推荐：https://www.jiaokey.com</w:t>
      </w:r>
    </w:p>
    <w:p>
      <w:r>
        <w:t>（美）罗杰·W.巴尼特著；吴东风，孙迪辉，李园芳译 其他作品：https://www.jiaokey.com/tag/（美）罗杰·W.巴尼特著；吴东风，孙迪辉，李园芳译.html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关键词搜索：https://www.jiaokey.com/tag/海军的战略和文化  海军所想所为为什么不一样.html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