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危机后的经济学  目标和手段</w:t>
      </w:r>
    </w:p>
    <w:p>
      <w:r>
        <w:rPr>
          <w:rFonts w:ascii="宋体" w:hAnsi="宋体" w:eastAsia="宋体"/>
          <w:sz w:val="24"/>
        </w:rPr>
        <w:t>（英）阿代尔·特纳（AdairTurner）著；曲昭光，李伟平译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危机后的经济学  目标和手段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（英）阿代尔·特纳（AdairTurner）著；曲昭光，李伟平译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本书出售、求购地址：https://www.jiaokey.com/book/detail/13583962.html</w:t>
      </w:r>
    </w:p>
    <w:p>
      <w:r>
        <w:t>更多相关图书推荐：https://www.jiaokey.com</w:t>
      </w:r>
    </w:p>
    <w:p>
      <w:r>
        <w:t>（英）阿代尔·特纳（AdairTurner）著；曲昭光，李伟平译 其他作品：https://www.jiaokey.com/tag/（英）阿代尔·特纳（AdairTurner）著；曲昭光，李伟平译.html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关键词搜索：https://www.jiaokey.com/tag/危机后的经济学  目标和手段.html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