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国际航空旅客运输普通国际票价计算和客票填开的规定</w:t>
      </w:r>
    </w:p>
    <w:p>
      <w:r>
        <w:rPr>
          <w:rFonts w:ascii="宋体" w:hAnsi="宋体" w:eastAsia="宋体"/>
          <w:sz w:val="24"/>
        </w:rPr>
        <w:t>田保华编译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国际航空旅客运输普通国际票价计算和客票填开的规定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田保华编译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中国民航管理干部学院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本书出售、求购地址：https://www.jiaokey.com/book/detail/13582137.html</w:t>
      </w:r>
    </w:p>
    <w:p>
      <w:r>
        <w:t>更多相关图书推荐：https://www.jiaokey.com</w:t>
      </w:r>
    </w:p>
    <w:p>
      <w:r>
        <w:t>田保华编译 其他作品：https://www.jiaokey.com/tag/田保华编译.html</w:t>
      </w:r>
    </w:p>
    <w:p>
      <w:r>
        <w:t>中国民航管理干部学院 出版图书：https://www.jiaokey.com/tag/中国民航管理干部学院.html</w:t>
      </w:r>
    </w:p>
    <w:p>
      <w:r>
        <w:t>关键词搜索：https://www.jiaokey.com/tag/国际航空旅客运输普通国际票价计算和客票填开的规定.html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