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CC案例应用教程</w:t>
      </w:r>
    </w:p>
    <w:p>
      <w:r>
        <w:rPr>
          <w:rFonts w:ascii="宋体" w:hAnsi="宋体" w:eastAsia="宋体"/>
          <w:sz w:val="24"/>
        </w:rPr>
        <w:t>方红琴主编；罗微娜，雷波，何敏副主编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CC案例应用教程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方红琴主编；罗微娜，雷波，何敏副主编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本书出售、求购地址：https://www.jiaokey.com/book/detail/13580928.html</w:t>
      </w:r>
    </w:p>
    <w:p>
      <w:r>
        <w:t>更多相关图书推荐：https://www.jiaokey.com</w:t>
      </w:r>
    </w:p>
    <w:p>
      <w:r>
        <w:t>方红琴主编；罗微娜，雷波，何敏副主编 其他作品：https://www.jiaokey.com/tag/方红琴主编；罗微娜，雷波，何敏副主编.html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CC案例应用教程.html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