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书名：新商事登记制度下的公司章程规范指引</w:t>
      </w:r>
    </w:p>
    <w:p>
      <w:r>
        <w:t>作者：蒋进，毕潇编著</w:t>
      </w:r>
    </w:p>
    <w:p>
      <w:r>
        <w:t>出版社：成都：四川大学出版社</w:t>
      </w:r>
    </w:p>
    <w:p>
      <w:r>
        <w:t>出版日期：2014.05</w:t>
      </w:r>
    </w:p>
    <w:p>
      <w:r>
        <w:t>总页数：279</w:t>
      </w:r>
    </w:p>
    <w:p>
      <w:r>
        <w:t>更多请访问教客网: www.jiaokey.com</w:t>
      </w:r>
    </w:p>
    <w:p>
      <w:r>
        <w:t>新商事登记制度下的公司章程规范指引 评论地址：https://www.jiaokey.com/book/detail/13580816.html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