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苍茫宝库播芬芳  《炎黄大观》50期文选  事件篇</w:t>
      </w:r>
    </w:p>
    <w:p>
      <w:r>
        <w:rPr>
          <w:rFonts w:ascii="宋体" w:hAnsi="宋体" w:eastAsia="宋体"/>
          <w:sz w:val="24"/>
        </w:rPr>
        <w:t>肇庆市炎黄文化研究会编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苍茫宝库播芬芳  《炎黄大观》50期文选  事件篇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肇庆市炎黄文化研究会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本书出售、求购地址：https://www.jiaokey.com/book/detail/13578764.html</w:t>
      </w:r>
    </w:p>
    <w:p>
      <w:r>
        <w:t>更多相关图书推荐：https://www.jiaokey.com</w:t>
      </w:r>
    </w:p>
    <w:p>
      <w:r>
        <w:t>肇庆市炎黄文化研究会编 其他作品：https://www.jiaokey.com/tag/肇庆市炎黄文化研究会编.html</w:t>
      </w:r>
    </w:p>
    <w:p>
      <w:r>
        <w:t>肇庆市炎黄文化研究会 出版图书：https://www.jiaokey.com/tag/肇庆市炎黄文化研究会.html</w:t>
      </w:r>
    </w:p>
    <w:p>
      <w:r>
        <w:t>关键词搜索：https://www.jiaokey.com/tag/苍茫宝库播芬芳  《炎黄大观》50期文选  事件篇.html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