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M型穷人的PRADA  2  M型时代（小钱致富）的33堂必修课</w:t>
      </w:r>
    </w:p>
    <w:p>
      <w:r>
        <w:rPr>
          <w:rFonts w:ascii="宋体" w:hAnsi="宋体" w:eastAsia="宋体"/>
          <w:sz w:val="24"/>
        </w:rPr>
        <w:t>瑞奇曼作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M型穷人的PRADA  2  M型时代（小钱致富）的33堂必修课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瑞奇曼作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智言馆文化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本书出售、求购地址：https://www.jiaokey.com/book/detail/13578468.html</w:t>
      </w:r>
    </w:p>
    <w:p>
      <w:r>
        <w:t>更多相关图书推荐：https://www.jiaokey.com</w:t>
      </w:r>
    </w:p>
    <w:p>
      <w:r>
        <w:t>瑞奇曼作 其他作品：https://www.jiaokey.com/tag/瑞奇曼作.html</w:t>
      </w:r>
    </w:p>
    <w:p>
      <w:r>
        <w:t>智言馆文化 出版图书：https://www.jiaokey.com/tag/智言馆文化.html</w:t>
      </w:r>
    </w:p>
    <w:p>
      <w:r>
        <w:t>关键词搜索：https://www.jiaokey.com/tag/M型穷人的PRADA  2  M型时代（小钱致富）的33堂必修课.html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