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  原来金融商品是这样设计出来</w:t>
      </w:r>
    </w:p>
    <w:p>
      <w:r>
        <w:rPr>
          <w:rFonts w:ascii="宋体" w:hAnsi="宋体" w:eastAsia="宋体"/>
          <w:sz w:val="24"/>
        </w:rPr>
        <w:t>永野良佑著；裘镇宁，王玮婷译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  原来金融商品是这样设计出来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永野良佑著；裘镇宁，王玮婷译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易博士文化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本书出售、求购地址：https://www.jiaokey.com/book/detail/13578431.html</w:t>
      </w:r>
    </w:p>
    <w:p>
      <w:r>
        <w:t>更多相关图书推荐：https://www.jiaokey.com</w:t>
      </w:r>
    </w:p>
    <w:p>
      <w:r>
        <w:t>永野良佑著；裘镇宁，王玮婷译 其他作品：https://www.jiaokey.com/tag/永野良佑著；裘镇宁，王玮婷译.html</w:t>
      </w:r>
    </w:p>
    <w:p>
      <w:r>
        <w:t>易博士文化 出版图书：https://www.jiaokey.com/tag/易博士文化.html</w:t>
      </w:r>
    </w:p>
    <w:p>
      <w:r>
        <w:t>关键词搜索：https://www.jiaokey.com/tag/图解  原来金融商品是这样设计出来.html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