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中国商事调解理论与实务</w:t>
      </w:r>
    </w:p>
    <w:p>
      <w:r>
        <w:rPr>
          <w:rFonts w:ascii="宋体" w:hAnsi="宋体" w:eastAsia="宋体"/>
          <w:sz w:val="24"/>
        </w:rPr>
        <w:t>黄河主编；穆子砺副主编；中国国际贸易促进委员会，中国国际商会调解中心组织编写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中国商事调解理论与实务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黄河主编；穆子砺副主编；中国国际贸易促进委员会，中国国际商会调解中心组织编写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本书出售、求购地址：https://www.jiaokey.com/book/detail/13576408.html</w:t>
      </w:r>
    </w:p>
    <w:p>
      <w:r>
        <w:t>更多相关图书推荐：https://www.jiaokey.com</w:t>
      </w:r>
    </w:p>
    <w:p>
      <w:r>
        <w:t>黄河主编；穆子砺副主编；中国国际贸易促进委员会，中国国际商会调解中心组织编写 其他作品：https://www.jiaokey.com/tag/黄河主编；穆子砺副主编；中国国际贸易促进委员会，中国国际商会调解中心组织编写.html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关键词搜索：https://www.jiaokey.com/tag/中国商事调解理论与实务.html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